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45" w:rsidRPr="00E057E3" w:rsidRDefault="00680F44" w:rsidP="00B1395D">
      <w:pPr>
        <w:jc w:val="center"/>
        <w:rPr>
          <w:rFonts w:ascii="the unseen" w:hAnsi="the unseen"/>
          <w:sz w:val="34"/>
          <w:szCs w:val="72"/>
        </w:rPr>
      </w:pPr>
      <w:r w:rsidRPr="00E057E3">
        <w:rPr>
          <w:rFonts w:ascii="the unseen" w:hAnsi="the unseen"/>
          <w:i/>
          <w:noProof/>
          <w:sz w:val="34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-285750</wp:posOffset>
                </wp:positionV>
                <wp:extent cx="505777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44" w:rsidRDefault="00680F44">
                            <w:r>
                              <w:t>Name: 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25pt;margin-top:-22.5pt;width:398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" fillcolor="white [3201]" stroked="f" strokeweight=".5pt">
                <v:textbox>
                  <w:txbxContent>
                    <w:p w:rsidR="00680F44" w:rsidRDefault="00680F44">
                      <w:r>
                        <w:t>Name: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0EE3" w:rsidRPr="00E057E3">
        <w:rPr>
          <w:rFonts w:ascii="the unseen" w:hAnsi="the unseen"/>
          <w:i/>
          <w:sz w:val="34"/>
          <w:szCs w:val="72"/>
        </w:rPr>
        <w:t>A Doll House</w:t>
      </w:r>
      <w:r w:rsidR="00FF1F45" w:rsidRPr="00E057E3">
        <w:rPr>
          <w:rFonts w:ascii="the unseen" w:hAnsi="the unseen"/>
          <w:sz w:val="34"/>
          <w:szCs w:val="72"/>
        </w:rPr>
        <w:t xml:space="preserve"> </w:t>
      </w:r>
      <w:r w:rsidR="00E057E3" w:rsidRPr="00E057E3">
        <w:rPr>
          <w:rFonts w:ascii="the unseen" w:hAnsi="the unseen"/>
          <w:sz w:val="34"/>
          <w:szCs w:val="72"/>
        </w:rPr>
        <w:t xml:space="preserve">by Henrik </w:t>
      </w:r>
      <w:proofErr w:type="spellStart"/>
      <w:r w:rsidR="00E057E3" w:rsidRPr="00E057E3">
        <w:rPr>
          <w:rFonts w:ascii="the unseen" w:hAnsi="the unseen"/>
          <w:sz w:val="34"/>
          <w:szCs w:val="72"/>
        </w:rPr>
        <w:t>Isben</w:t>
      </w:r>
      <w:proofErr w:type="spellEnd"/>
    </w:p>
    <w:p w:rsidR="00680F44" w:rsidRPr="00E057E3" w:rsidRDefault="00FF1F45" w:rsidP="00B1395D">
      <w:pPr>
        <w:jc w:val="center"/>
        <w:rPr>
          <w:rFonts w:ascii="the unseen" w:hAnsi="the unseen"/>
          <w:sz w:val="8"/>
          <w:szCs w:val="28"/>
        </w:rPr>
      </w:pPr>
      <w:r w:rsidRPr="00E057E3">
        <w:rPr>
          <w:rFonts w:ascii="the unseen" w:hAnsi="the unseen"/>
          <w:sz w:val="26"/>
          <w:szCs w:val="72"/>
        </w:rPr>
        <w:t>Assignment Rubric</w:t>
      </w:r>
      <w:r w:rsidR="00E057E3" w:rsidRPr="00E057E3">
        <w:rPr>
          <w:rFonts w:ascii="the unseen" w:hAnsi="the unseen"/>
          <w:sz w:val="26"/>
          <w:szCs w:val="72"/>
        </w:rPr>
        <w:t>- Mastery grade</w:t>
      </w:r>
      <w:r w:rsidR="00E057E3">
        <w:rPr>
          <w:rFonts w:ascii="the unseen" w:hAnsi="the unseen"/>
          <w:sz w:val="26"/>
          <w:szCs w:val="72"/>
        </w:rPr>
        <w:br/>
      </w:r>
      <w:proofErr w:type="gramStart"/>
      <w:r w:rsidR="00E057E3">
        <w:rPr>
          <w:rFonts w:ascii="the unseen" w:hAnsi="the unseen"/>
          <w:sz w:val="26"/>
          <w:szCs w:val="72"/>
        </w:rPr>
        <w:t>You</w:t>
      </w:r>
      <w:proofErr w:type="gramEnd"/>
      <w:r w:rsidR="00E057E3">
        <w:rPr>
          <w:rFonts w:ascii="the unseen" w:hAnsi="the unseen"/>
          <w:sz w:val="26"/>
          <w:szCs w:val="72"/>
        </w:rPr>
        <w:t xml:space="preserve"> will turn in ONE Microsoft Word Document into TEAMS on the due date. </w:t>
      </w:r>
      <w:r w:rsidR="00E057E3">
        <w:rPr>
          <w:rFonts w:ascii="the unseen" w:hAnsi="the unseen"/>
          <w:sz w:val="26"/>
          <w:szCs w:val="72"/>
        </w:rPr>
        <w:br/>
        <w:t xml:space="preserve">The Research project is due BEFORE the remainder of the project and will be completed outside of Microsoft Word. See AP calendar and project page. </w:t>
      </w:r>
    </w:p>
    <w:tbl>
      <w:tblPr>
        <w:tblStyle w:val="TableGrid"/>
        <w:tblW w:w="10563" w:type="dxa"/>
        <w:tblInd w:w="-545" w:type="dxa"/>
        <w:tblLook w:val="04A0" w:firstRow="1" w:lastRow="0" w:firstColumn="1" w:lastColumn="0" w:noHBand="0" w:noVBand="1"/>
      </w:tblPr>
      <w:tblGrid>
        <w:gridCol w:w="7070"/>
        <w:gridCol w:w="1880"/>
        <w:gridCol w:w="1613"/>
      </w:tblGrid>
      <w:tr w:rsidR="00EC0A2F" w:rsidRPr="00E057E3" w:rsidTr="007109CD">
        <w:trPr>
          <w:trHeight w:val="803"/>
        </w:trPr>
        <w:tc>
          <w:tcPr>
            <w:tcW w:w="7070" w:type="dxa"/>
          </w:tcPr>
          <w:p w:rsidR="00EC0A2F" w:rsidRPr="00E057E3" w:rsidRDefault="00E057E3" w:rsidP="00EC0A2F">
            <w:pPr>
              <w:jc w:val="center"/>
              <w:rPr>
                <w:rFonts w:ascii="the unseen" w:hAnsi="the unseen"/>
                <w:sz w:val="36"/>
                <w:szCs w:val="40"/>
              </w:rPr>
            </w:pPr>
            <w:r>
              <w:rPr>
                <w:rFonts w:ascii="the unseen" w:hAnsi="the unseen"/>
                <w:sz w:val="36"/>
                <w:szCs w:val="40"/>
              </w:rPr>
              <w:t>Project Requirements</w:t>
            </w:r>
          </w:p>
        </w:tc>
        <w:tc>
          <w:tcPr>
            <w:tcW w:w="1880" w:type="dxa"/>
          </w:tcPr>
          <w:p w:rsidR="00EC0A2F" w:rsidRPr="00E057E3" w:rsidRDefault="00EC0A2F" w:rsidP="00EC0A2F">
            <w:pPr>
              <w:jc w:val="center"/>
              <w:rPr>
                <w:rFonts w:ascii="the unseen" w:hAnsi="the unseen"/>
                <w:sz w:val="36"/>
                <w:szCs w:val="40"/>
              </w:rPr>
            </w:pPr>
            <w:r w:rsidRPr="00E057E3">
              <w:rPr>
                <w:rFonts w:ascii="the unseen" w:hAnsi="the unseen"/>
                <w:sz w:val="36"/>
                <w:szCs w:val="40"/>
              </w:rPr>
              <w:t>Points Possible</w:t>
            </w:r>
          </w:p>
        </w:tc>
        <w:tc>
          <w:tcPr>
            <w:tcW w:w="1613" w:type="dxa"/>
          </w:tcPr>
          <w:p w:rsidR="00EC0A2F" w:rsidRPr="00E057E3" w:rsidRDefault="00EC0A2F" w:rsidP="00EC0A2F">
            <w:pPr>
              <w:jc w:val="center"/>
              <w:rPr>
                <w:rFonts w:ascii="the unseen" w:hAnsi="the unseen"/>
                <w:sz w:val="36"/>
                <w:szCs w:val="40"/>
              </w:rPr>
            </w:pPr>
            <w:r w:rsidRPr="00E057E3">
              <w:rPr>
                <w:rFonts w:ascii="the unseen" w:hAnsi="the unseen"/>
                <w:sz w:val="36"/>
                <w:szCs w:val="40"/>
              </w:rPr>
              <w:t>Points Earned</w:t>
            </w:r>
          </w:p>
        </w:tc>
      </w:tr>
      <w:tr w:rsidR="00EC0A2F" w:rsidRPr="00E057E3" w:rsidTr="007109CD">
        <w:trPr>
          <w:trHeight w:val="760"/>
        </w:trPr>
        <w:tc>
          <w:tcPr>
            <w:tcW w:w="7070" w:type="dxa"/>
          </w:tcPr>
          <w:p w:rsidR="00EC0A2F" w:rsidRPr="00E057E3" w:rsidRDefault="00EC0A2F" w:rsidP="00706756">
            <w:pPr>
              <w:rPr>
                <w:rFonts w:ascii="the unseen" w:hAnsi="the unseen"/>
                <w:sz w:val="36"/>
                <w:szCs w:val="40"/>
              </w:rPr>
            </w:pPr>
            <w:r w:rsidRPr="00E057E3">
              <w:rPr>
                <w:rFonts w:ascii="the unseen" w:hAnsi="the unseen"/>
                <w:sz w:val="36"/>
                <w:szCs w:val="40"/>
              </w:rPr>
              <w:t>Pre-reading Research PowerPoint</w:t>
            </w:r>
          </w:p>
          <w:p w:rsidR="00EC0A2F" w:rsidRPr="00E057E3" w:rsidRDefault="007A66CE" w:rsidP="00706756">
            <w:pPr>
              <w:rPr>
                <w:rFonts w:ascii="the unseen" w:hAnsi="the unseen"/>
                <w:sz w:val="36"/>
                <w:szCs w:val="40"/>
              </w:rPr>
            </w:pPr>
            <w:r w:rsidRPr="00E057E3">
              <w:rPr>
                <w:rFonts w:ascii="Century Gothic" w:hAnsi="Century Gothic" w:cs="AGaramond"/>
                <w:color w:val="000000"/>
                <w:sz w:val="18"/>
              </w:rPr>
              <w:t>P</w:t>
            </w:r>
            <w:r w:rsidR="00E057E3" w:rsidRPr="00E057E3">
              <w:rPr>
                <w:rFonts w:ascii="Century Gothic" w:hAnsi="Century Gothic" w:cs="AGaramond"/>
                <w:color w:val="000000"/>
                <w:sz w:val="18"/>
              </w:rPr>
              <w:t>resentation is well-researched and well-presented</w:t>
            </w:r>
          </w:p>
        </w:tc>
        <w:tc>
          <w:tcPr>
            <w:tcW w:w="1880" w:type="dxa"/>
          </w:tcPr>
          <w:p w:rsidR="00EC0A2F" w:rsidRPr="00E057E3" w:rsidRDefault="0091539B" w:rsidP="0091539B">
            <w:pPr>
              <w:jc w:val="center"/>
              <w:rPr>
                <w:rFonts w:ascii="the unseen" w:hAnsi="the unseen"/>
                <w:sz w:val="36"/>
                <w:szCs w:val="40"/>
              </w:rPr>
            </w:pPr>
            <w:r w:rsidRPr="00E057E3">
              <w:rPr>
                <w:rFonts w:ascii="the unseen" w:hAnsi="the unseen"/>
                <w:sz w:val="36"/>
                <w:szCs w:val="40"/>
              </w:rPr>
              <w:t>30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rPr>
                <w:rFonts w:ascii="the unseen" w:hAnsi="the unseen"/>
                <w:sz w:val="36"/>
                <w:szCs w:val="40"/>
              </w:rPr>
            </w:pPr>
          </w:p>
        </w:tc>
      </w:tr>
      <w:tr w:rsidR="00EC0A2F" w:rsidRPr="00E057E3" w:rsidTr="007109CD">
        <w:trPr>
          <w:trHeight w:val="779"/>
        </w:trPr>
        <w:tc>
          <w:tcPr>
            <w:tcW w:w="7070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Gender Roles Research</w:t>
            </w:r>
          </w:p>
          <w:p w:rsidR="00EC0A2F" w:rsidRPr="00E057E3" w:rsidRDefault="00EC0A2F" w:rsidP="00706756">
            <w:pPr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/>
                <w:sz w:val="18"/>
              </w:rPr>
              <w:t xml:space="preserve">4 questions are answered </w:t>
            </w:r>
            <w:r w:rsidR="00E057E3" w:rsidRPr="00E057E3">
              <w:rPr>
                <w:rFonts w:ascii="Century Gothic" w:hAnsi="Century Gothic"/>
                <w:sz w:val="18"/>
              </w:rPr>
              <w:t>thoroughly and completely using evidence from the text.</w:t>
            </w:r>
            <w:r w:rsidR="00E057E3">
              <w:rPr>
                <w:rFonts w:ascii="Century Gothic" w:hAnsi="Century Gothic"/>
                <w:sz w:val="18"/>
              </w:rPr>
              <w:t xml:space="preserve">  They are clearly of AP level quality. </w:t>
            </w:r>
          </w:p>
        </w:tc>
        <w:tc>
          <w:tcPr>
            <w:tcW w:w="1880" w:type="dxa"/>
          </w:tcPr>
          <w:p w:rsidR="00EC0A2F" w:rsidRPr="00E057E3" w:rsidRDefault="0091539B" w:rsidP="0091539B">
            <w:pPr>
              <w:pStyle w:val="Pa12"/>
              <w:spacing w:before="140" w:line="240" w:lineRule="auto"/>
              <w:jc w:val="center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4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</w:p>
        </w:tc>
        <w:bookmarkStart w:id="0" w:name="_GoBack"/>
        <w:bookmarkEnd w:id="0"/>
      </w:tr>
      <w:tr w:rsidR="00EC0A2F" w:rsidRPr="00E057E3" w:rsidTr="007109CD">
        <w:trPr>
          <w:trHeight w:val="1092"/>
        </w:trPr>
        <w:tc>
          <w:tcPr>
            <w:tcW w:w="7070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The Art of Advertisement</w:t>
            </w:r>
          </w:p>
          <w:p w:rsidR="00EC0A2F" w:rsidRPr="00E057E3" w:rsidRDefault="00EC0A2F" w:rsidP="00706756">
            <w:pPr>
              <w:rPr>
                <w:rFonts w:ascii="Century Gothic" w:hAnsi="Century Gothic" w:cs="AGaramond"/>
                <w:color w:val="000000"/>
                <w:sz w:val="20"/>
                <w:szCs w:val="24"/>
              </w:rPr>
            </w:pPr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>Ad is attached</w:t>
            </w:r>
          </w:p>
          <w:p w:rsidR="00EC0A2F" w:rsidRPr="00E057E3" w:rsidRDefault="00EC0A2F" w:rsidP="00E057E3">
            <w:pPr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5 questions are answered </w:t>
            </w:r>
            <w:r w:rsidR="00E057E3"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>thoroughly an</w:t>
            </w:r>
            <w:r w:rsid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d completely using analysis and are clearly of AP level quality. </w:t>
            </w:r>
          </w:p>
        </w:tc>
        <w:tc>
          <w:tcPr>
            <w:tcW w:w="1880" w:type="dxa"/>
          </w:tcPr>
          <w:p w:rsidR="00EC0A2F" w:rsidRPr="00E057E3" w:rsidRDefault="00E057E3" w:rsidP="0091539B">
            <w:pPr>
              <w:pStyle w:val="Pa12"/>
              <w:spacing w:before="140" w:line="240" w:lineRule="auto"/>
              <w:jc w:val="center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8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</w:p>
        </w:tc>
      </w:tr>
      <w:tr w:rsidR="00EC0A2F" w:rsidRPr="00E057E3" w:rsidTr="007109CD">
        <w:trPr>
          <w:trHeight w:val="1092"/>
        </w:trPr>
        <w:tc>
          <w:tcPr>
            <w:tcW w:w="7070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color w:val="000000"/>
                <w:sz w:val="36"/>
                <w:szCs w:val="40"/>
              </w:rPr>
              <w:t>Pet Names</w:t>
            </w:r>
          </w:p>
          <w:p w:rsidR="00EC0A2F" w:rsidRPr="00E057E3" w:rsidRDefault="00EC0A2F" w:rsidP="00706756">
            <w:pPr>
              <w:rPr>
                <w:rFonts w:ascii="Century Gothic" w:hAnsi="Century Gothic" w:cs="AGaramond"/>
                <w:color w:val="000000"/>
                <w:sz w:val="20"/>
                <w:szCs w:val="24"/>
              </w:rPr>
            </w:pPr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Brainstormed list of nicknames </w:t>
            </w:r>
          </w:p>
          <w:p w:rsidR="00EC0A2F" w:rsidRPr="00E057E3" w:rsidRDefault="00EC0A2F" w:rsidP="00E057E3">
            <w:pPr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3 questions </w:t>
            </w:r>
            <w:proofErr w:type="gramStart"/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>are answered</w:t>
            </w:r>
            <w:proofErr w:type="gramEnd"/>
            <w:r w:rsid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 thoroughly and completely.  The answers help students discover themes found in </w:t>
            </w:r>
            <w:r w:rsidR="00E057E3">
              <w:rPr>
                <w:rFonts w:ascii="Century Gothic" w:hAnsi="Century Gothic" w:cs="AGaramond"/>
                <w:i/>
                <w:color w:val="000000"/>
                <w:sz w:val="20"/>
                <w:szCs w:val="24"/>
              </w:rPr>
              <w:t>A Doll House</w:t>
            </w:r>
            <w:r w:rsid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880" w:type="dxa"/>
          </w:tcPr>
          <w:p w:rsidR="00EC0A2F" w:rsidRPr="00E057E3" w:rsidRDefault="00E057E3" w:rsidP="0091539B">
            <w:pPr>
              <w:pStyle w:val="Pa12"/>
              <w:spacing w:before="140" w:line="240" w:lineRule="auto"/>
              <w:jc w:val="center"/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>
              <w:rPr>
                <w:rFonts w:ascii="the unseen" w:hAnsi="the unseen" w:cs="TradeGothic"/>
                <w:color w:val="000000"/>
                <w:sz w:val="36"/>
                <w:szCs w:val="40"/>
              </w:rPr>
              <w:t>6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</w:p>
        </w:tc>
      </w:tr>
      <w:tr w:rsidR="00EC0A2F" w:rsidRPr="00E057E3" w:rsidTr="007109CD">
        <w:trPr>
          <w:trHeight w:val="1078"/>
        </w:trPr>
        <w:tc>
          <w:tcPr>
            <w:tcW w:w="7070" w:type="dxa"/>
          </w:tcPr>
          <w:p w:rsidR="00EC0A2F" w:rsidRPr="00E057E3" w:rsidRDefault="00EC0A2F" w:rsidP="00706756">
            <w:pPr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 xml:space="preserve">Greek Myth -- </w:t>
            </w:r>
            <w:r w:rsidRPr="00E057E3">
              <w:rPr>
                <w:rFonts w:ascii="the unseen" w:hAnsi="the unseen" w:cs="AGaramond"/>
                <w:color w:val="000000"/>
                <w:sz w:val="40"/>
                <w:szCs w:val="44"/>
              </w:rPr>
              <w:t>Arachne</w:t>
            </w: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 xml:space="preserve"> Response Journals</w:t>
            </w:r>
          </w:p>
          <w:p w:rsidR="00EC0A2F" w:rsidRPr="00E057E3" w:rsidRDefault="00EC0A2F" w:rsidP="00706756">
            <w:pPr>
              <w:rPr>
                <w:rFonts w:ascii="the unseen" w:hAnsi="the unseen" w:cs="TradeGothic"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5 questions </w:t>
            </w:r>
            <w:proofErr w:type="gramStart"/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>are answered</w:t>
            </w:r>
            <w:proofErr w:type="gramEnd"/>
            <w:r w:rsidRP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 </w:t>
            </w:r>
            <w:r w:rsidR="00E057E3">
              <w:rPr>
                <w:rFonts w:ascii="Century Gothic" w:hAnsi="Century Gothic" w:cs="AGaramond"/>
                <w:color w:val="000000"/>
                <w:sz w:val="20"/>
                <w:szCs w:val="24"/>
              </w:rPr>
              <w:t xml:space="preserve">thoroughly and completely and are clearly of AP level quality. </w:t>
            </w:r>
          </w:p>
        </w:tc>
        <w:tc>
          <w:tcPr>
            <w:tcW w:w="1880" w:type="dxa"/>
          </w:tcPr>
          <w:p w:rsidR="00EC0A2F" w:rsidRPr="00E057E3" w:rsidRDefault="0091539B" w:rsidP="0091539B">
            <w:pPr>
              <w:jc w:val="center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5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</w:p>
        </w:tc>
      </w:tr>
      <w:tr w:rsidR="00EC0A2F" w:rsidRPr="00E057E3" w:rsidTr="007109CD">
        <w:trPr>
          <w:trHeight w:val="1335"/>
        </w:trPr>
        <w:tc>
          <w:tcPr>
            <w:tcW w:w="7070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Problem Situation</w:t>
            </w:r>
          </w:p>
          <w:p w:rsidR="00EC0A2F" w:rsidRPr="00E057E3" w:rsidRDefault="00EC0A2F" w:rsidP="00706756">
            <w:pPr>
              <w:rPr>
                <w:rFonts w:ascii="Century Gothic" w:hAnsi="Century Gothic"/>
                <w:sz w:val="18"/>
              </w:rPr>
            </w:pPr>
            <w:r w:rsidRPr="00E057E3">
              <w:rPr>
                <w:rFonts w:ascii="Century Gothic" w:hAnsi="Century Gothic"/>
                <w:sz w:val="18"/>
              </w:rPr>
              <w:t xml:space="preserve">Characters are ranked from most dishonorable to least dishonorable </w:t>
            </w:r>
          </w:p>
          <w:p w:rsidR="00EC0A2F" w:rsidRPr="00E057E3" w:rsidRDefault="00EC0A2F" w:rsidP="00706756">
            <w:pPr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/>
                <w:sz w:val="18"/>
              </w:rPr>
              <w:t xml:space="preserve">Discussion questions </w:t>
            </w:r>
            <w:proofErr w:type="gramStart"/>
            <w:r w:rsidRPr="00E057E3">
              <w:rPr>
                <w:rFonts w:ascii="Century Gothic" w:hAnsi="Century Gothic"/>
                <w:sz w:val="18"/>
              </w:rPr>
              <w:t>are addressed</w:t>
            </w:r>
            <w:proofErr w:type="gramEnd"/>
            <w:r w:rsidR="00E057E3">
              <w:rPr>
                <w:rFonts w:ascii="Century Gothic" w:hAnsi="Century Gothic"/>
                <w:sz w:val="18"/>
              </w:rPr>
              <w:t xml:space="preserve">, and students are adequately prepared for class discussion. </w:t>
            </w:r>
          </w:p>
        </w:tc>
        <w:tc>
          <w:tcPr>
            <w:tcW w:w="1880" w:type="dxa"/>
          </w:tcPr>
          <w:p w:rsidR="00EC0A2F" w:rsidRPr="00E057E3" w:rsidRDefault="0091539B" w:rsidP="0091539B">
            <w:pPr>
              <w:pStyle w:val="Pa12"/>
              <w:spacing w:before="140" w:line="240" w:lineRule="auto"/>
              <w:jc w:val="center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4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pStyle w:val="Pa12"/>
              <w:spacing w:before="140" w:line="240" w:lineRule="auto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</w:p>
        </w:tc>
      </w:tr>
      <w:tr w:rsidR="00EC0A2F" w:rsidRPr="00E057E3" w:rsidTr="007109CD">
        <w:trPr>
          <w:trHeight w:val="1324"/>
        </w:trPr>
        <w:tc>
          <w:tcPr>
            <w:tcW w:w="7070" w:type="dxa"/>
          </w:tcPr>
          <w:p w:rsidR="00EC0A2F" w:rsidRPr="00E057E3" w:rsidRDefault="00EC0A2F" w:rsidP="00706756">
            <w:pPr>
              <w:autoSpaceDE w:val="0"/>
              <w:autoSpaceDN w:val="0"/>
              <w:adjustRightInd w:val="0"/>
              <w:spacing w:after="20" w:line="191" w:lineRule="atLeast"/>
              <w:rPr>
                <w:rFonts w:ascii="the unseen" w:hAnsi="the unseen" w:cs="AGaramond Bold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AGaramond Bold"/>
                <w:bCs/>
                <w:color w:val="000000"/>
                <w:sz w:val="36"/>
                <w:szCs w:val="40"/>
              </w:rPr>
              <w:t xml:space="preserve">Play Discussion Questions: </w:t>
            </w:r>
          </w:p>
          <w:p w:rsidR="00EC0A2F" w:rsidRPr="00E057E3" w:rsidRDefault="00EC0A2F" w:rsidP="00706756">
            <w:pPr>
              <w:autoSpaceDE w:val="0"/>
              <w:autoSpaceDN w:val="0"/>
              <w:adjustRightInd w:val="0"/>
              <w:spacing w:after="20" w:line="191" w:lineRule="atLeast"/>
              <w:rPr>
                <w:rFonts w:ascii="Century Gothic" w:hAnsi="Century Gothic" w:cs="AGaramond Bold"/>
                <w:b/>
                <w:bCs/>
                <w:color w:val="000000"/>
                <w:sz w:val="20"/>
                <w:szCs w:val="24"/>
              </w:rPr>
            </w:pPr>
            <w:r w:rsidRPr="00E057E3">
              <w:rPr>
                <w:rFonts w:ascii="Century Gothic" w:hAnsi="Century Gothic" w:cs="AGaramond Bold"/>
                <w:b/>
                <w:bCs/>
                <w:color w:val="000000"/>
                <w:sz w:val="20"/>
                <w:szCs w:val="24"/>
              </w:rPr>
              <w:t xml:space="preserve">Act I </w:t>
            </w:r>
            <w:r w:rsidR="00080E3B">
              <w:rPr>
                <w:rFonts w:ascii="Century Gothic" w:hAnsi="Century Gothic" w:cs="AGaramond Bold"/>
                <w:bCs/>
                <w:color w:val="000000"/>
                <w:sz w:val="20"/>
                <w:szCs w:val="24"/>
              </w:rPr>
              <w:t>-- 6 questions are answered thoroughly and completely</w:t>
            </w:r>
          </w:p>
          <w:p w:rsidR="00EC0A2F" w:rsidRPr="00E057E3" w:rsidRDefault="00EC0A2F" w:rsidP="00706756">
            <w:pPr>
              <w:autoSpaceDE w:val="0"/>
              <w:autoSpaceDN w:val="0"/>
              <w:adjustRightInd w:val="0"/>
              <w:spacing w:after="20" w:line="191" w:lineRule="atLeast"/>
              <w:rPr>
                <w:rFonts w:ascii="Century Gothic" w:hAnsi="Century Gothic" w:cs="AGaramond Bold"/>
                <w:color w:val="000000"/>
                <w:sz w:val="20"/>
                <w:szCs w:val="24"/>
              </w:rPr>
            </w:pPr>
            <w:r w:rsidRPr="00E057E3">
              <w:rPr>
                <w:rFonts w:ascii="Century Gothic" w:hAnsi="Century Gothic" w:cs="AGaramond Bold"/>
                <w:b/>
                <w:bCs/>
                <w:color w:val="000000"/>
                <w:sz w:val="20"/>
                <w:szCs w:val="24"/>
              </w:rPr>
              <w:t>Act II</w:t>
            </w:r>
            <w:r w:rsidRPr="00E057E3">
              <w:rPr>
                <w:rFonts w:ascii="Century Gothic" w:hAnsi="Century Gothic" w:cs="AGaramond Bold"/>
                <w:color w:val="000000"/>
                <w:sz w:val="20"/>
                <w:szCs w:val="24"/>
              </w:rPr>
              <w:t xml:space="preserve"> – 5 questions are answered</w:t>
            </w:r>
            <w:r w:rsidR="00080E3B">
              <w:rPr>
                <w:rFonts w:ascii="Century Gothic" w:hAnsi="Century Gothic" w:cs="AGaramond Bold"/>
                <w:color w:val="000000"/>
                <w:sz w:val="20"/>
                <w:szCs w:val="24"/>
              </w:rPr>
              <w:t xml:space="preserve"> thoroughly and completely</w:t>
            </w:r>
          </w:p>
          <w:p w:rsidR="00EC0A2F" w:rsidRPr="00E057E3" w:rsidRDefault="00EC0A2F" w:rsidP="00706756">
            <w:pPr>
              <w:autoSpaceDE w:val="0"/>
              <w:autoSpaceDN w:val="0"/>
              <w:adjustRightInd w:val="0"/>
              <w:spacing w:after="20" w:line="191" w:lineRule="atLeast"/>
              <w:rPr>
                <w:rFonts w:ascii="the unseen" w:hAnsi="the unseen" w:cs="AGaramond Bold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 w:cs="AGaramond Bold"/>
                <w:b/>
                <w:bCs/>
                <w:color w:val="000000"/>
                <w:sz w:val="20"/>
                <w:szCs w:val="24"/>
              </w:rPr>
              <w:t xml:space="preserve">Act III </w:t>
            </w:r>
            <w:r w:rsidRPr="00E057E3">
              <w:rPr>
                <w:rFonts w:ascii="Century Gothic" w:hAnsi="Century Gothic" w:cs="AGaramond Bold"/>
                <w:bCs/>
                <w:color w:val="000000"/>
                <w:sz w:val="20"/>
                <w:szCs w:val="24"/>
              </w:rPr>
              <w:t>– 7 questions are answered</w:t>
            </w:r>
            <w:r w:rsidR="00080E3B">
              <w:rPr>
                <w:rFonts w:ascii="Century Gothic" w:hAnsi="Century Gothic" w:cs="AGaramond Bold"/>
                <w:bCs/>
                <w:color w:val="000000"/>
                <w:sz w:val="20"/>
                <w:szCs w:val="24"/>
              </w:rPr>
              <w:t xml:space="preserve"> thoroughly and completely </w:t>
            </w:r>
          </w:p>
        </w:tc>
        <w:tc>
          <w:tcPr>
            <w:tcW w:w="1880" w:type="dxa"/>
          </w:tcPr>
          <w:p w:rsidR="00EC0A2F" w:rsidRPr="00E057E3" w:rsidRDefault="0091539B" w:rsidP="0091539B">
            <w:pPr>
              <w:autoSpaceDE w:val="0"/>
              <w:autoSpaceDN w:val="0"/>
              <w:adjustRightInd w:val="0"/>
              <w:spacing w:after="20" w:line="191" w:lineRule="atLeast"/>
              <w:jc w:val="center"/>
              <w:rPr>
                <w:rFonts w:ascii="the unseen" w:hAnsi="the unseen" w:cs="AGaramond Bold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AGaramond Bold"/>
                <w:bCs/>
                <w:color w:val="000000"/>
                <w:sz w:val="36"/>
                <w:szCs w:val="40"/>
              </w:rPr>
              <w:t>18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autoSpaceDE w:val="0"/>
              <w:autoSpaceDN w:val="0"/>
              <w:adjustRightInd w:val="0"/>
              <w:spacing w:after="20" w:line="191" w:lineRule="atLeast"/>
              <w:rPr>
                <w:rFonts w:ascii="the unseen" w:hAnsi="the unseen" w:cs="AGaramond Bold"/>
                <w:bCs/>
                <w:color w:val="000000"/>
                <w:sz w:val="36"/>
                <w:szCs w:val="40"/>
              </w:rPr>
            </w:pPr>
          </w:p>
        </w:tc>
      </w:tr>
      <w:tr w:rsidR="00EC0A2F" w:rsidRPr="00E057E3" w:rsidTr="007109CD">
        <w:trPr>
          <w:trHeight w:val="1282"/>
        </w:trPr>
        <w:tc>
          <w:tcPr>
            <w:tcW w:w="7070" w:type="dxa"/>
          </w:tcPr>
          <w:p w:rsidR="00EC0A2F" w:rsidRPr="00E057E3" w:rsidRDefault="00EC0A2F" w:rsidP="00EC0A2F">
            <w:pPr>
              <w:pStyle w:val="Pa12"/>
              <w:spacing w:before="140" w:after="80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 xml:space="preserve">Character Sketch </w:t>
            </w:r>
          </w:p>
          <w:p w:rsidR="00EC0A2F" w:rsidRPr="00E057E3" w:rsidRDefault="00EC0A2F" w:rsidP="00EC0A2F">
            <w:pPr>
              <w:pStyle w:val="Pa12"/>
              <w:spacing w:before="140" w:after="80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Century Gothic" w:hAnsi="Century Gothic"/>
                <w:sz w:val="20"/>
              </w:rPr>
              <w:t xml:space="preserve">At least a paragraph </w:t>
            </w:r>
            <w:proofErr w:type="gramStart"/>
            <w:r w:rsidRPr="00E057E3">
              <w:rPr>
                <w:rFonts w:ascii="Century Gothic" w:hAnsi="Century Gothic"/>
                <w:sz w:val="20"/>
              </w:rPr>
              <w:t>has been created</w:t>
            </w:r>
            <w:proofErr w:type="gramEnd"/>
            <w:r w:rsidRPr="00E057E3">
              <w:rPr>
                <w:rFonts w:ascii="Century Gothic" w:hAnsi="Century Gothic"/>
                <w:sz w:val="20"/>
              </w:rPr>
              <w:t>, describing the chosen character in detail.</w:t>
            </w:r>
            <w:r w:rsidR="00080E3B">
              <w:rPr>
                <w:rFonts w:ascii="Century Gothic" w:hAnsi="Century Gothic"/>
                <w:sz w:val="20"/>
              </w:rPr>
              <w:t xml:space="preserve">  All character sketch questions </w:t>
            </w:r>
            <w:proofErr w:type="gramStart"/>
            <w:r w:rsidR="00080E3B">
              <w:rPr>
                <w:rFonts w:ascii="Century Gothic" w:hAnsi="Century Gothic"/>
                <w:sz w:val="20"/>
              </w:rPr>
              <w:t>are addressed</w:t>
            </w:r>
            <w:proofErr w:type="gramEnd"/>
            <w:r w:rsidR="00080E3B">
              <w:rPr>
                <w:rFonts w:ascii="Century Gothic" w:hAnsi="Century Gothic"/>
                <w:sz w:val="20"/>
              </w:rPr>
              <w:t xml:space="preserve"> through the written assignment.  The assignment is clearly of AP level quality and is thorough and complete.  </w:t>
            </w:r>
          </w:p>
        </w:tc>
        <w:tc>
          <w:tcPr>
            <w:tcW w:w="1880" w:type="dxa"/>
          </w:tcPr>
          <w:p w:rsidR="00EC0A2F" w:rsidRPr="00E057E3" w:rsidRDefault="0091539B" w:rsidP="0091539B">
            <w:pPr>
              <w:pStyle w:val="Pa12"/>
              <w:spacing w:before="140" w:after="80"/>
              <w:jc w:val="center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>25</w:t>
            </w:r>
          </w:p>
        </w:tc>
        <w:tc>
          <w:tcPr>
            <w:tcW w:w="1613" w:type="dxa"/>
          </w:tcPr>
          <w:p w:rsidR="00EC0A2F" w:rsidRPr="00E057E3" w:rsidRDefault="00EC0A2F" w:rsidP="00706756">
            <w:pPr>
              <w:pStyle w:val="Pa12"/>
              <w:spacing w:before="140" w:after="80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</w:p>
        </w:tc>
      </w:tr>
      <w:tr w:rsidR="00680F44" w:rsidRPr="00E057E3" w:rsidTr="007109CD">
        <w:trPr>
          <w:trHeight w:val="718"/>
        </w:trPr>
        <w:tc>
          <w:tcPr>
            <w:tcW w:w="7070" w:type="dxa"/>
          </w:tcPr>
          <w:p w:rsidR="00680F44" w:rsidRPr="00E057E3" w:rsidRDefault="00680F44" w:rsidP="00EC0A2F">
            <w:pPr>
              <w:pStyle w:val="Pa12"/>
              <w:spacing w:before="140" w:after="80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  <w:r w:rsidRPr="00E057E3"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  <w:t xml:space="preserve">Total Score </w:t>
            </w:r>
          </w:p>
        </w:tc>
        <w:tc>
          <w:tcPr>
            <w:tcW w:w="3493" w:type="dxa"/>
            <w:gridSpan w:val="2"/>
          </w:tcPr>
          <w:p w:rsidR="00680F44" w:rsidRPr="00E057E3" w:rsidRDefault="00680F44" w:rsidP="00706756">
            <w:pPr>
              <w:pStyle w:val="Pa12"/>
              <w:spacing w:before="140" w:after="80"/>
              <w:rPr>
                <w:rFonts w:ascii="the unseen" w:hAnsi="the unseen" w:cs="TradeGothic"/>
                <w:bCs/>
                <w:color w:val="000000"/>
                <w:sz w:val="36"/>
                <w:szCs w:val="40"/>
              </w:rPr>
            </w:pPr>
          </w:p>
        </w:tc>
      </w:tr>
    </w:tbl>
    <w:p w:rsidR="00B82A49" w:rsidRPr="00E057E3" w:rsidRDefault="00B82A49" w:rsidP="007109CD">
      <w:pPr>
        <w:rPr>
          <w:rFonts w:ascii="Century Gothic" w:hAnsi="Century Gothic"/>
          <w:sz w:val="18"/>
        </w:rPr>
      </w:pPr>
    </w:p>
    <w:sectPr w:rsidR="00B82A49" w:rsidRPr="00E057E3" w:rsidSect="00680F4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unseen">
    <w:charset w:val="00"/>
    <w:family w:val="auto"/>
    <w:pitch w:val="variable"/>
    <w:sig w:usb0="80000003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AFF"/>
    <w:multiLevelType w:val="hybridMultilevel"/>
    <w:tmpl w:val="AA62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B11"/>
    <w:multiLevelType w:val="hybridMultilevel"/>
    <w:tmpl w:val="5AA4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41E9"/>
    <w:multiLevelType w:val="hybridMultilevel"/>
    <w:tmpl w:val="31BE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3"/>
    <w:rsid w:val="00080E3B"/>
    <w:rsid w:val="0016530C"/>
    <w:rsid w:val="003723DB"/>
    <w:rsid w:val="003C0EE3"/>
    <w:rsid w:val="00542E3A"/>
    <w:rsid w:val="005675BC"/>
    <w:rsid w:val="006028C2"/>
    <w:rsid w:val="00680F44"/>
    <w:rsid w:val="007109CD"/>
    <w:rsid w:val="0076283E"/>
    <w:rsid w:val="007A66CE"/>
    <w:rsid w:val="00831A0D"/>
    <w:rsid w:val="0091539B"/>
    <w:rsid w:val="00A11448"/>
    <w:rsid w:val="00AD6706"/>
    <w:rsid w:val="00B1395D"/>
    <w:rsid w:val="00B82A49"/>
    <w:rsid w:val="00E057E3"/>
    <w:rsid w:val="00E74169"/>
    <w:rsid w:val="00EB27E4"/>
    <w:rsid w:val="00EC0A2F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2927"/>
  <w15:chartTrackingRefBased/>
  <w15:docId w15:val="{0593DB5B-D463-4442-992D-37F7DE6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3C0EE3"/>
    <w:pPr>
      <w:autoSpaceDE w:val="0"/>
      <w:autoSpaceDN w:val="0"/>
      <w:adjustRightInd w:val="0"/>
      <w:spacing w:after="0" w:line="191" w:lineRule="atLeast"/>
    </w:pPr>
    <w:rPr>
      <w:rFonts w:ascii="AGaramond" w:hAnsi="AGaramond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3C0EE3"/>
    <w:pPr>
      <w:autoSpaceDE w:val="0"/>
      <w:autoSpaceDN w:val="0"/>
      <w:adjustRightInd w:val="0"/>
      <w:spacing w:after="0" w:line="181" w:lineRule="atLeast"/>
    </w:pPr>
    <w:rPr>
      <w:rFonts w:ascii="TradeGothic" w:hAnsi="TradeGothic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3C0EE3"/>
    <w:pPr>
      <w:autoSpaceDE w:val="0"/>
      <w:autoSpaceDN w:val="0"/>
      <w:adjustRightInd w:val="0"/>
      <w:spacing w:after="0" w:line="191" w:lineRule="atLeast"/>
    </w:pPr>
    <w:rPr>
      <w:rFonts w:ascii="TradeGothic" w:hAnsi="TradeGothic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C0EE3"/>
    <w:pPr>
      <w:autoSpaceDE w:val="0"/>
      <w:autoSpaceDN w:val="0"/>
      <w:adjustRightInd w:val="0"/>
      <w:spacing w:after="0" w:line="191" w:lineRule="atLeast"/>
    </w:pPr>
    <w:rPr>
      <w:rFonts w:ascii="TradeGothic" w:hAnsi="Trade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EE3"/>
    <w:pPr>
      <w:ind w:left="720"/>
      <w:contextualSpacing/>
    </w:pPr>
  </w:style>
  <w:style w:type="paragraph" w:customStyle="1" w:styleId="Default">
    <w:name w:val="Default"/>
    <w:rsid w:val="003C0EE3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3C0EE3"/>
    <w:pPr>
      <w:spacing w:line="19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3C0EE3"/>
    <w:pPr>
      <w:spacing w:line="19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3C0EE3"/>
    <w:pPr>
      <w:spacing w:line="19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6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8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4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9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Stapp, Sarah</dc:creator>
  <cp:keywords/>
  <dc:description/>
  <cp:lastModifiedBy>Margaret D. Livingston</cp:lastModifiedBy>
  <cp:revision>5</cp:revision>
  <cp:lastPrinted>2016-11-01T14:57:00Z</cp:lastPrinted>
  <dcterms:created xsi:type="dcterms:W3CDTF">2018-02-15T13:36:00Z</dcterms:created>
  <dcterms:modified xsi:type="dcterms:W3CDTF">2018-02-15T13:45:00Z</dcterms:modified>
</cp:coreProperties>
</file>